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5F7A" w14:textId="6C098A65" w:rsidR="0007756F" w:rsidRPr="002C67BA" w:rsidRDefault="00B45E44" w:rsidP="00187CA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згляд на производную и дифференциал с другого ракурса</w:t>
      </w:r>
    </w:p>
    <w:p w14:paraId="76B183B1" w14:textId="3EA9B9F8" w:rsidR="0007756F" w:rsidRPr="002C67BA" w:rsidRDefault="0007756F" w:rsidP="00187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Бейфус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Петр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Сергеевич</w:t>
      </w:r>
    </w:p>
    <w:p w14:paraId="2EA44DFF" w14:textId="77777777" w:rsidR="00B741C9" w:rsidRPr="00B741C9" w:rsidRDefault="00B741C9" w:rsidP="00B741C9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1C9">
        <w:rPr>
          <w:rFonts w:ascii="Times New Roman" w:hAnsi="Times New Roman" w:cs="Times New Roman"/>
          <w:sz w:val="28"/>
          <w:szCs w:val="28"/>
        </w:rPr>
        <w:t>ФГОБУ ВО «Финансовый университет при правительстве Российской Федерации», Москва, Россия</w:t>
      </w:r>
      <w:r w:rsidRPr="00B741C9">
        <w:rPr>
          <w:rFonts w:ascii="Times New Roman" w:hAnsi="Times New Roman" w:cs="Times New Roman"/>
          <w:sz w:val="28"/>
          <w:szCs w:val="28"/>
        </w:rPr>
        <w:br/>
        <w:t>Кандидат экономических наук, доцент</w:t>
      </w:r>
      <w:r w:rsidRPr="00B741C9">
        <w:rPr>
          <w:rFonts w:ascii="Times New Roman" w:hAnsi="Times New Roman" w:cs="Times New Roman"/>
          <w:sz w:val="28"/>
          <w:szCs w:val="28"/>
        </w:rPr>
        <w:br/>
        <w:t>E-mail: gor_</w:t>
      </w:r>
      <w:r w:rsidRPr="00B741C9">
        <w:rPr>
          <w:rFonts w:ascii="Times New Roman" w:hAnsi="Times New Roman" w:cs="Times New Roman"/>
          <w:sz w:val="28"/>
          <w:szCs w:val="28"/>
          <w:lang w:val="en-US"/>
        </w:rPr>
        <w:t>ira</w:t>
      </w:r>
      <w:r w:rsidRPr="00B741C9">
        <w:rPr>
          <w:rFonts w:ascii="Times New Roman" w:hAnsi="Times New Roman" w:cs="Times New Roman"/>
          <w:sz w:val="28"/>
          <w:szCs w:val="28"/>
        </w:rPr>
        <w:t>@</w:t>
      </w:r>
      <w:r w:rsidRPr="00B741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41C9">
        <w:rPr>
          <w:rFonts w:ascii="Times New Roman" w:hAnsi="Times New Roman" w:cs="Times New Roman"/>
          <w:sz w:val="28"/>
          <w:szCs w:val="28"/>
        </w:rPr>
        <w:t>.ru</w:t>
      </w:r>
    </w:p>
    <w:p w14:paraId="2F351EE8" w14:textId="77777777" w:rsidR="00F7435F" w:rsidRPr="00285F24" w:rsidRDefault="00F7435F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7CB075" w14:textId="6BA3AFD0" w:rsidR="0007756F" w:rsidRPr="002C67BA" w:rsidRDefault="0007756F" w:rsidP="00187C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Гладун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Александр</w:t>
      </w:r>
      <w:r w:rsidR="006963B2"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Николаевич</w:t>
      </w:r>
    </w:p>
    <w:p w14:paraId="3BA67713" w14:textId="77777777" w:rsidR="00B741C9" w:rsidRPr="00B741C9" w:rsidRDefault="00B741C9" w:rsidP="00B741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1C9">
        <w:rPr>
          <w:rFonts w:ascii="Times New Roman" w:hAnsi="Times New Roman" w:cs="Times New Roman"/>
          <w:sz w:val="28"/>
          <w:szCs w:val="28"/>
        </w:rPr>
        <w:t>ФГОБУ ВО «Финансовый университет при правительстве Российской Федерации», Москва, Россия</w:t>
      </w:r>
      <w:r w:rsidRPr="00B741C9">
        <w:rPr>
          <w:rFonts w:ascii="Times New Roman" w:hAnsi="Times New Roman" w:cs="Times New Roman"/>
          <w:sz w:val="28"/>
          <w:szCs w:val="28"/>
        </w:rPr>
        <w:br/>
        <w:t>Студент</w:t>
      </w:r>
      <w:r w:rsidRPr="00B741C9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r w:rsidRPr="00B741C9">
        <w:rPr>
          <w:rFonts w:ascii="Times New Roman" w:hAnsi="Times New Roman" w:cs="Times New Roman"/>
          <w:sz w:val="28"/>
          <w:szCs w:val="28"/>
          <w:lang w:val="en-US"/>
        </w:rPr>
        <w:t>anna</w:t>
      </w:r>
      <w:r w:rsidRPr="00B741C9">
        <w:rPr>
          <w:rFonts w:ascii="Times New Roman" w:hAnsi="Times New Roman" w:cs="Times New Roman"/>
          <w:sz w:val="28"/>
          <w:szCs w:val="28"/>
        </w:rPr>
        <w:t>-</w:t>
      </w:r>
      <w:r w:rsidRPr="00B741C9">
        <w:rPr>
          <w:rFonts w:ascii="Times New Roman" w:hAnsi="Times New Roman" w:cs="Times New Roman"/>
          <w:sz w:val="28"/>
          <w:szCs w:val="28"/>
          <w:lang w:val="en-US"/>
        </w:rPr>
        <w:t>nov</w:t>
      </w:r>
      <w:r w:rsidRPr="00B741C9">
        <w:rPr>
          <w:rFonts w:ascii="Times New Roman" w:hAnsi="Times New Roman" w:cs="Times New Roman"/>
          <w:sz w:val="28"/>
          <w:szCs w:val="28"/>
        </w:rPr>
        <w:t>@mail.ru</w:t>
      </w:r>
    </w:p>
    <w:p w14:paraId="51425247" w14:textId="77777777" w:rsidR="00F7435F" w:rsidRPr="00285F24" w:rsidRDefault="00F7435F" w:rsidP="00F743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48909E" w14:textId="57A4C57A" w:rsidR="00187CA2" w:rsidRPr="002C67BA" w:rsidRDefault="00B45E44" w:rsidP="00187C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  <w:r w:rsidR="00187CA2" w:rsidRPr="002C67BA">
        <w:rPr>
          <w:rFonts w:ascii="Times New Roman" w:hAnsi="Times New Roman" w:cs="Times New Roman"/>
          <w:sz w:val="28"/>
          <w:szCs w:val="28"/>
        </w:rPr>
        <w:t>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Рассмотрено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обобщение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понятий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производной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дифференциала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функции.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Определены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α-производная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α-дифференциал.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Составлены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таблицы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α-производной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α-диференциала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основных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элементарных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функций.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Выяснен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геометрический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смысл.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Рассмотрено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применение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α-дифференциала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приближенных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вычислениях.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Приведены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примеры.</w:t>
      </w:r>
    </w:p>
    <w:p w14:paraId="32E1E154" w14:textId="2FE799DA" w:rsidR="0007756F" w:rsidRPr="002C67BA" w:rsidRDefault="00B45E44" w:rsidP="00187C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C67BA">
        <w:rPr>
          <w:rFonts w:ascii="Times New Roman" w:hAnsi="Times New Roman" w:cs="Times New Roman"/>
          <w:b/>
          <w:bCs/>
          <w:sz w:val="28"/>
          <w:szCs w:val="28"/>
        </w:rPr>
        <w:t>лова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α-производная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α-дифференциал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7CA2" w:rsidRPr="002C67BA">
        <w:rPr>
          <w:rFonts w:ascii="Times New Roman" w:hAnsi="Times New Roman" w:cs="Times New Roman"/>
          <w:sz w:val="28"/>
          <w:szCs w:val="28"/>
        </w:rPr>
        <w:t>еометрический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87CA2" w:rsidRPr="002C67BA">
        <w:rPr>
          <w:rFonts w:ascii="Times New Roman" w:hAnsi="Times New Roman" w:cs="Times New Roman"/>
          <w:sz w:val="28"/>
          <w:szCs w:val="28"/>
        </w:rPr>
        <w:t>риближенные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вычисления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="00187CA2" w:rsidRPr="002C67BA">
        <w:rPr>
          <w:rFonts w:ascii="Times New Roman" w:hAnsi="Times New Roman" w:cs="Times New Roman"/>
          <w:sz w:val="28"/>
          <w:szCs w:val="28"/>
        </w:rPr>
        <w:t>функции.</w:t>
      </w:r>
    </w:p>
    <w:p w14:paraId="148207CE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любой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представляется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возможным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финансирования,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напрямую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зависит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Еще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XIX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соотечественник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Тургенев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утверждал,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являются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средством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достижению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[1,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11].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8CAD67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Исследуя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зарождения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следует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дискуссионность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поводу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определения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факта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всегда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оправданным.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например,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считают,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появились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времен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придерживаются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С.Б.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Глушаченко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Щепкин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[2,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4–6].</w:t>
      </w:r>
    </w:p>
    <w:p w14:paraId="001EF72B" w14:textId="23B1D895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lastRenderedPageBreak/>
        <w:t>Напротив,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Петуховой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сводится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одновременно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[3].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позволяет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констатировать,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разногласия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справедливы,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будут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место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системы.</w:t>
      </w:r>
    </w:p>
    <w:p w14:paraId="254FCB7E" w14:textId="77777777" w:rsidR="002C257F" w:rsidRPr="002C67BA" w:rsidRDefault="002C257F" w:rsidP="002C2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726F9" wp14:editId="405EFA19">
            <wp:extent cx="5715000" cy="429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E57B3" w14:textId="1BF91BA4" w:rsidR="002C257F" w:rsidRPr="002C67BA" w:rsidRDefault="002C257F" w:rsidP="002C25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BA">
        <w:rPr>
          <w:rFonts w:ascii="Times New Roman" w:hAnsi="Times New Roman" w:cs="Times New Roman"/>
          <w:sz w:val="24"/>
          <w:szCs w:val="24"/>
        </w:rPr>
        <w:t>Рис</w:t>
      </w:r>
      <w:r w:rsidR="00E34AF3" w:rsidRPr="002C67BA">
        <w:rPr>
          <w:rFonts w:ascii="Times New Roman" w:hAnsi="Times New Roman" w:cs="Times New Roman"/>
          <w:sz w:val="24"/>
          <w:szCs w:val="24"/>
        </w:rPr>
        <w:t>.</w:t>
      </w:r>
      <w:r w:rsidRPr="002C67BA">
        <w:rPr>
          <w:rFonts w:ascii="Times New Roman" w:hAnsi="Times New Roman" w:cs="Times New Roman"/>
          <w:sz w:val="24"/>
          <w:szCs w:val="24"/>
        </w:rPr>
        <w:t xml:space="preserve"> 1</w:t>
      </w:r>
      <w:r w:rsidR="00E34AF3" w:rsidRPr="002C67BA">
        <w:rPr>
          <w:rFonts w:ascii="Times New Roman" w:hAnsi="Times New Roman" w:cs="Times New Roman"/>
          <w:sz w:val="24"/>
          <w:szCs w:val="24"/>
        </w:rPr>
        <w:t>.</w:t>
      </w:r>
      <w:r w:rsidRPr="002C67BA">
        <w:rPr>
          <w:rFonts w:ascii="Times New Roman" w:hAnsi="Times New Roman" w:cs="Times New Roman"/>
          <w:sz w:val="24"/>
          <w:szCs w:val="24"/>
        </w:rPr>
        <w:t xml:space="preserve"> Главное меню программы</w:t>
      </w:r>
    </w:p>
    <w:p w14:paraId="0E18DB30" w14:textId="6E76D53F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Наибольший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интерес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вызывает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самый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значимый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этап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непосредственно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древнерусской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известно,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результате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нашествия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войск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Золотой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Орды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население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Руси,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захваченное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монголо-татарскими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ханами,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становится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обязанным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дань.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Тяжелым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обременением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уплачивались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натуральной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шкур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мехов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различных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животных,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продукции,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высока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повинностей,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осуществляемых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выполнения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строительных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работ,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работ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</w:t>
      </w:r>
    </w:p>
    <w:p w14:paraId="5FDFC49A" w14:textId="014E01D4" w:rsidR="002C67BA" w:rsidRPr="002C67BA" w:rsidRDefault="002C67BA" w:rsidP="002C67BA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28A8D14C" w14:textId="3E80203E" w:rsidR="002C67BA" w:rsidRPr="002C67BA" w:rsidRDefault="002C67BA" w:rsidP="002C67B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Содержание тромбоцитов в цельной крови у пациентов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C67BA" w:rsidRPr="002C67BA" w14:paraId="22FA25DC" w14:textId="77777777" w:rsidTr="002C67BA">
        <w:tc>
          <w:tcPr>
            <w:tcW w:w="4672" w:type="dxa"/>
          </w:tcPr>
          <w:p w14:paraId="07D73285" w14:textId="34C645B6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Пациенты</w:t>
            </w:r>
          </w:p>
        </w:tc>
        <w:tc>
          <w:tcPr>
            <w:tcW w:w="4672" w:type="dxa"/>
          </w:tcPr>
          <w:p w14:paraId="65B9C652" w14:textId="356D2292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тромбоцитов в мл</w:t>
            </w:r>
          </w:p>
        </w:tc>
      </w:tr>
      <w:tr w:rsidR="002C67BA" w:rsidRPr="002C67BA" w14:paraId="7104F290" w14:textId="77777777" w:rsidTr="002C67BA">
        <w:tc>
          <w:tcPr>
            <w:tcW w:w="4672" w:type="dxa"/>
          </w:tcPr>
          <w:p w14:paraId="718B3C3D" w14:textId="37BA0AD3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1</w:t>
            </w:r>
          </w:p>
        </w:tc>
        <w:tc>
          <w:tcPr>
            <w:tcW w:w="4672" w:type="dxa"/>
          </w:tcPr>
          <w:p w14:paraId="0592EFC4" w14:textId="36D41182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2C67BA" w:rsidRPr="002C67BA" w14:paraId="0C6B4A9F" w14:textId="77777777" w:rsidTr="002C67BA">
        <w:tc>
          <w:tcPr>
            <w:tcW w:w="4672" w:type="dxa"/>
          </w:tcPr>
          <w:p w14:paraId="65DA7FA3" w14:textId="224C3F50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2</w:t>
            </w:r>
          </w:p>
        </w:tc>
        <w:tc>
          <w:tcPr>
            <w:tcW w:w="4672" w:type="dxa"/>
          </w:tcPr>
          <w:p w14:paraId="0A5F7DD7" w14:textId="00B0733C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2C67BA" w:rsidRPr="002C67BA" w14:paraId="6A839F8A" w14:textId="77777777" w:rsidTr="002C67BA">
        <w:tc>
          <w:tcPr>
            <w:tcW w:w="4672" w:type="dxa"/>
          </w:tcPr>
          <w:p w14:paraId="0B1A5B01" w14:textId="5957473F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3</w:t>
            </w:r>
          </w:p>
        </w:tc>
        <w:tc>
          <w:tcPr>
            <w:tcW w:w="4672" w:type="dxa"/>
          </w:tcPr>
          <w:p w14:paraId="0D21F368" w14:textId="0C417175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2C67BA" w:rsidRPr="002C67BA" w14:paraId="52A88641" w14:textId="77777777" w:rsidTr="002C67BA">
        <w:tc>
          <w:tcPr>
            <w:tcW w:w="4672" w:type="dxa"/>
          </w:tcPr>
          <w:p w14:paraId="568C6B44" w14:textId="53A75EC5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4</w:t>
            </w:r>
          </w:p>
        </w:tc>
        <w:tc>
          <w:tcPr>
            <w:tcW w:w="4672" w:type="dxa"/>
          </w:tcPr>
          <w:p w14:paraId="63FBEC63" w14:textId="45AA52DF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2C67BA" w:rsidRPr="002C67BA" w14:paraId="16B4DE34" w14:textId="77777777" w:rsidTr="002C67BA">
        <w:tc>
          <w:tcPr>
            <w:tcW w:w="4672" w:type="dxa"/>
          </w:tcPr>
          <w:p w14:paraId="263341DC" w14:textId="25C2A8F0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5</w:t>
            </w:r>
          </w:p>
        </w:tc>
        <w:tc>
          <w:tcPr>
            <w:tcW w:w="4672" w:type="dxa"/>
          </w:tcPr>
          <w:p w14:paraId="17724B06" w14:textId="323A1149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2C67BA" w:rsidRPr="002C67BA" w14:paraId="777FE5E2" w14:textId="77777777" w:rsidTr="002C67BA">
        <w:tc>
          <w:tcPr>
            <w:tcW w:w="4672" w:type="dxa"/>
          </w:tcPr>
          <w:p w14:paraId="33BD2D22" w14:textId="697DAEF6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6</w:t>
            </w:r>
          </w:p>
        </w:tc>
        <w:tc>
          <w:tcPr>
            <w:tcW w:w="4672" w:type="dxa"/>
          </w:tcPr>
          <w:p w14:paraId="7B794CB0" w14:textId="78B5FEA0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C67BA" w:rsidRPr="002C67BA" w14:paraId="335BEFBC" w14:textId="77777777" w:rsidTr="002C67BA">
        <w:tc>
          <w:tcPr>
            <w:tcW w:w="4672" w:type="dxa"/>
          </w:tcPr>
          <w:p w14:paraId="00A30950" w14:textId="4FFE330F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Пациент 7</w:t>
            </w:r>
          </w:p>
        </w:tc>
        <w:tc>
          <w:tcPr>
            <w:tcW w:w="4672" w:type="dxa"/>
          </w:tcPr>
          <w:p w14:paraId="09A8FF6F" w14:textId="78F6298C" w:rsidR="002C67BA" w:rsidRPr="002C67BA" w:rsidRDefault="002C67BA" w:rsidP="002C67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B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</w:tbl>
    <w:p w14:paraId="05D3DB50" w14:textId="77777777" w:rsidR="00E34AF3" w:rsidRPr="002C67BA" w:rsidRDefault="00E34AF3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4FB808" w14:textId="177D1FB8" w:rsidR="00F7435F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централизованного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образовывается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целевая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ямской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полоняничный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стрелецкая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пищальные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деньги,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городовое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засечное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дело.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21A4C" w14:paraId="3696FC82" w14:textId="77777777" w:rsidTr="00521A4C">
        <w:tc>
          <w:tcPr>
            <w:tcW w:w="3114" w:type="dxa"/>
            <w:vAlign w:val="center"/>
          </w:tcPr>
          <w:p w14:paraId="4622F9B1" w14:textId="77777777" w:rsidR="00521A4C" w:rsidRDefault="00521A4C" w:rsidP="000775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14:paraId="46D1C88D" w14:textId="4BE5BFE9" w:rsidR="00521A4C" w:rsidRDefault="00521A4C" w:rsidP="00521A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001DD1" wp14:editId="56E247EF">
                  <wp:extent cx="1350188" cy="8286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150" cy="84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vAlign w:val="center"/>
          </w:tcPr>
          <w:p w14:paraId="7907AD79" w14:textId="5E5F6C28" w:rsidR="00521A4C" w:rsidRPr="00521A4C" w:rsidRDefault="00521A4C" w:rsidP="00521A4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14:paraId="10919CFE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XVII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тенденция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формирования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фискальных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Каждый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направлен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различных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объектов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объекта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обязательного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элемента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Например,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большого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прихода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прямых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большой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казны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собирал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городских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промыслов,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обязанностью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большого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дворца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царских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земель.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отвечал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Счетный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приказ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[4,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указанный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происходит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денежной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характеризуется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появлением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серебряных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монет.</w:t>
      </w:r>
    </w:p>
    <w:p w14:paraId="43DE710E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Петровская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эпоха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значительно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изменила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Проведение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реформы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образованию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подушная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введенная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1724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году.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Черника,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ранее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существовавшая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Руси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ориентировалась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увеличение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возрастания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потребностей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казны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реального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I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предпринял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усилия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подъема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производительных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сил,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условия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укрепления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[5,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21–22].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I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шел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увеличения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ставок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вводил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различные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очередь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косвенные.</w:t>
      </w:r>
    </w:p>
    <w:p w14:paraId="384162A5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XIX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ознаменован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событием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управления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создание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Министерства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Анализируя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деятельность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органа,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можно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существенную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управления.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выражалось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компетенция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Министерства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включала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только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управления,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распределения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первоначальной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задачей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Министерства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установление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сумм,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поступавших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казну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разрешении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споров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</w:p>
    <w:p w14:paraId="7D27D208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Со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временем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подушная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имеющая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размер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территории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перестала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источником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исправления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указанной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перемены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Новшеством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явился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взымался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недвижимое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имущество.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поземельный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Имущество,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переходящее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наследству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полученное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результате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дарения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налогооблагаемым,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относилось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объекту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пополнялся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посредством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акцизов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табачную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продукцию,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сахар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предпочтение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косвенному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влечет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несовершенств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императорской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России.</w:t>
      </w:r>
    </w:p>
    <w:p w14:paraId="2898E675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послереволюционный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количество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сократилось.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перестроить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сменилась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специфика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сравнению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царской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Россией.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характеризовался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ликвидацией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собственности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землю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национализацией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промышленности,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смысл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потерял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поземельный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промысловый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недвижимое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имущество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характеризовалась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эмиссией,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конфискацией,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продразверсткой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контрибуцией.</w:t>
      </w:r>
    </w:p>
    <w:p w14:paraId="01FB7A0A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относят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начало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20-х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прошлого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столетия.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вышло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уровень.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Можно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происходящее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указанное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разделение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прямые,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именно,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промысловый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облагались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торговые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промышленные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предприятия,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подоходно-поимущественный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сельскохозяйственный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косвенные,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характеризовались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введением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акцизов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спирт,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табачные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изделия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</w:t>
      </w:r>
    </w:p>
    <w:p w14:paraId="627A4E34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Времена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Великой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Отечественной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войны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очень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отразились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обуславливалось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военное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огромного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очередь,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целях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поддержания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армии.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Перечень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обязательных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расширять,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предприняло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советское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государство.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помимо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имеющихся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должны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уплачивать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военный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холостяков,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одиноких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малосемейных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осуществлялся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владельцев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скота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</w:t>
      </w:r>
    </w:p>
    <w:p w14:paraId="3DAA7F9D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lastRenderedPageBreak/>
        <w:t>После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Великой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Отечественной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войны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размер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обрел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тенденцию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снижения,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послужило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уменьшению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удельного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[6,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181–186].</w:t>
      </w:r>
    </w:p>
    <w:p w14:paraId="6AF80684" w14:textId="5942A9A9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восстановления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финансовой,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середине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СССР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начала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преобразовываться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хозяйственная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деятельность,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заключалось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работ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предприятиях,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повышении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прибыльности.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касается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отметить,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сохранении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оборота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вместо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форме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отчислений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предприятий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установлено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самостоятельных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платежа: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производственные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нормируемые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оборотные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средства,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целью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усиление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использования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фондов;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фиксированные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(рентные)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платежи,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направленные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изъятие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излишних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накоплений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сравнению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среднеотраслевым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уровнем;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взнос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свободного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остатка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[7].</w:t>
      </w:r>
    </w:p>
    <w:p w14:paraId="7EFC214A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Проводимые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преобразования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высоким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темпам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60–70-е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позволяло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успешно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решать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задачи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благосостояния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граждан.</w:t>
      </w:r>
    </w:p>
    <w:p w14:paraId="2E74FE0B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постсоветской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создания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(рыночной)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оказалась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центре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внимания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исследователей,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теоретиков,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практиков.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колоссальных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ряду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причин.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Во-первых,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связанно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переходом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рыночным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отношениям.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Во-вторых,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нормативную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базу,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касающуюся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свидетельствовало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принятие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«Об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1991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достигнуть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идеала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представлялось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очень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сложным,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многочисленность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нормативных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актов,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связанное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несоответствие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подзаконных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актов,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нестабильность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многочисленность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сборов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федерального,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регионального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местного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уровней,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порождали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пробелы,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[8,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18].</w:t>
      </w:r>
    </w:p>
    <w:p w14:paraId="7E567C9C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Принятие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конце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90-х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кодекс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сыграло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важнейшую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систематизации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положений,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регулируют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процесс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налогообложения.</w:t>
      </w:r>
    </w:p>
    <w:p w14:paraId="31165046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Небольшой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каждом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рубеже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удавалось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соответствовала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вызовам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времени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укреплению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отечественной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государственности.</w:t>
      </w:r>
    </w:p>
    <w:p w14:paraId="0A1E24A2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Считаем,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30-летняя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требует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глубокого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изучения,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через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авторитета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мире,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повышению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качества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жизни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граждан.</w:t>
      </w:r>
    </w:p>
    <w:p w14:paraId="6576FAB4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верно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Аринин,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должна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конкурентоспособна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отношению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других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настоящие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выделяемых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автором,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заключается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несоответствии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инновационной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действительным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потребностям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инновационного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качестве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проявления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отсутствие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надлежащего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стимулирования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стратегических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регионов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(Сибирь,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Дальний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Восток)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числе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посредством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инструментов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[9,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14–25].</w:t>
      </w:r>
    </w:p>
    <w:p w14:paraId="24158B88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инновационного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подхода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указывал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президент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докладе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стратегии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2020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года».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Президентом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задан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вектор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механизмов,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человеческого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капитала.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того,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главными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итогами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должно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максимальное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освобождение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организаций,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занятых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образования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медицинского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страхования.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Нельзя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сказать,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степени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реализованы.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усматриваем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еще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важное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направление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придание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приоритетного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социальным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интересам.</w:t>
      </w:r>
    </w:p>
    <w:p w14:paraId="1D20EBEF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Еще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серьезной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нестабильность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постоянной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изменчивостью,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обуславливается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частыми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нововведениями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протяжении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периода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существования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современной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условиях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затруднительно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говорить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построении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устойчивой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того,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«шаткость»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значительной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степени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затормаживает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сферы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темпах,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других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странах,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развивается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более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длительное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время.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связи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этим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возникает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угроза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отставания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РФ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ведущих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мира,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очередь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является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серьезным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препятствием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государственности.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случае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разумным,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наш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взгляд,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минимизация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изменений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проработка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действующих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норм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устранения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пробельности.</w:t>
      </w:r>
    </w:p>
    <w:p w14:paraId="03B7AB43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Следует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признать,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действующая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показала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свою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недостаточную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эффективность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решении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социальной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политики: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колоссальные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разрывы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между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бедными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богатыми,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способствуют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консолидации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Опыт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передовых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Запада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Востока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свидетельствует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преимуществах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сравнению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пропорциональным.</w:t>
      </w:r>
    </w:p>
    <w:p w14:paraId="64A45A89" w14:textId="77777777" w:rsidR="00F7435F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Это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отмечают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многие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исследователи.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например,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основным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итогом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Вахтиной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[10,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68–79]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стало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установление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факта,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расслоение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общества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значительно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меньше,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нежели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странах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фиксированной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ставкой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положительный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результат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виде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уменьшения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«пропасти»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между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доходами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богатых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бедных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указывают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Лукашенко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И.Н.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Раздерищенко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[11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68–72].</w:t>
      </w:r>
    </w:p>
    <w:p w14:paraId="72E08258" w14:textId="6CB486CD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считаем,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что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уже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пора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встать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путь,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однако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выбрав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тот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вариант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применения,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соответствовать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особенностям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национального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учетом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опыта.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необходима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такая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которая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будет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способствовать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экономическому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следствие,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улучшению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уровня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жизни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населения,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росту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авторитета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страны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мировой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арене.</w:t>
      </w:r>
    </w:p>
    <w:p w14:paraId="29831D2E" w14:textId="55633CFC" w:rsidR="00187CA2" w:rsidRPr="002C67BA" w:rsidRDefault="00B45E44" w:rsidP="00187CA2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7BA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14:paraId="232ED08A" w14:textId="67F1C9FF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1.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Тургенев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Опыт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теории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Тургенев.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СПб.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тип.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Греча,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1818.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11.</w:t>
      </w:r>
    </w:p>
    <w:p w14:paraId="421CD2BD" w14:textId="38157AFC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2.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Глушаченко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С.Б.,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Щепкин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Исторические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предпосылки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возникновения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(теоретикоправовой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анализ)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2007.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№12.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4–6.</w:t>
      </w:r>
    </w:p>
    <w:p w14:paraId="5EB33231" w14:textId="64A6E8D0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3.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Петухова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Н.Е.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История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IX–XX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Учеб,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пособие.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Вузовский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учебник,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2008.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416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</w:p>
    <w:p w14:paraId="21782987" w14:textId="05168FB5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4.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Бобринев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происхождении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журнал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вестник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кемеровского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университета.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№4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(64)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https://www.elibrary.ru/item.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asp?id=24986445</w:t>
      </w:r>
    </w:p>
    <w:p w14:paraId="1A2B0CA2" w14:textId="1996C6F8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налогообложение: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учебник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практикум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для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вузов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[и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др.];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под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редакцией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Д.Г.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Черника,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Ю.Д.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Шмелева.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4-е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изд.,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перераб.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доп.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Изд.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Юрайт,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2019.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21–22.</w:t>
      </w:r>
    </w:p>
    <w:p w14:paraId="5D5F3835" w14:textId="3F9232C2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6.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Бобринев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вопросу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происхождении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журнал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вестник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кемеровского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lastRenderedPageBreak/>
        <w:t>университета.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№4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(64)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181–186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https://www.elibrary.ru/item.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asp?id=24986445</w:t>
      </w:r>
    </w:p>
    <w:p w14:paraId="484693D2" w14:textId="6307EE1C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7.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Мозоль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Налоговый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кодекс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сущность,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значение,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перспективы: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автореферат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дис.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Москва,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2010.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—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132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https://www.elibrary.ru/item.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asp?id=30350625</w:t>
      </w:r>
    </w:p>
    <w:p w14:paraId="6B68C719" w14:textId="07303880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8.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Семенова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А.В.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Лекции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дисциплине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право//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Московский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экономико-правовой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институт.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2008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18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URL: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https://textarchive.ru/c-1297947-pall.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html</w:t>
      </w:r>
    </w:p>
    <w:p w14:paraId="3F3C2BB1" w14:textId="3A5C2B28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9.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Аринин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Правовое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регулирование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налоговой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Федерации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1991–2008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гг.: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становление,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развитие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перспективы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Вестник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Российского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университета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дружбы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народов.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Серия: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Юридические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науки.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2010.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14–25.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156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«Молодой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учёный»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15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(357)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Юриспруденция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Апрель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2021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г.</w:t>
      </w:r>
    </w:p>
    <w:p w14:paraId="2C4BB7AB" w14:textId="3B7F304F" w:rsidR="00187CA2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10.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Вахтина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М.А.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как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инструмент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обеспечения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стабильности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бюджетной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Актуальные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проблемы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экономики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права.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2016.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Т.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10,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№2.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68–79.</w:t>
      </w:r>
    </w:p>
    <w:p w14:paraId="1CBCE776" w14:textId="5B546560" w:rsidR="001167FE" w:rsidRPr="002C67BA" w:rsidRDefault="0007756F" w:rsidP="000775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BA">
        <w:rPr>
          <w:rFonts w:ascii="Times New Roman" w:hAnsi="Times New Roman" w:cs="Times New Roman"/>
          <w:sz w:val="28"/>
          <w:szCs w:val="28"/>
        </w:rPr>
        <w:t>11.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Лукашенко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Е.А.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Раздерищенко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И.Н.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Быть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ли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прогрессивной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системе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налогообложения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по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НДФЛ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в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России?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//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Научные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исследования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разработки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2017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года.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2017.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С.</w:t>
      </w:r>
      <w:r w:rsidR="006963B2" w:rsidRPr="002C67BA">
        <w:rPr>
          <w:rFonts w:ascii="Times New Roman" w:hAnsi="Times New Roman" w:cs="Times New Roman"/>
          <w:sz w:val="28"/>
          <w:szCs w:val="28"/>
        </w:rPr>
        <w:t xml:space="preserve"> </w:t>
      </w:r>
      <w:r w:rsidRPr="002C67BA">
        <w:rPr>
          <w:rFonts w:ascii="Times New Roman" w:hAnsi="Times New Roman" w:cs="Times New Roman"/>
          <w:sz w:val="28"/>
          <w:szCs w:val="28"/>
        </w:rPr>
        <w:t>68–72.</w:t>
      </w:r>
    </w:p>
    <w:sectPr w:rsidR="001167FE" w:rsidRPr="002C67BA" w:rsidSect="00077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6F"/>
    <w:rsid w:val="0007756F"/>
    <w:rsid w:val="001167FE"/>
    <w:rsid w:val="00187CA2"/>
    <w:rsid w:val="00285F24"/>
    <w:rsid w:val="002C257F"/>
    <w:rsid w:val="002C67BA"/>
    <w:rsid w:val="00474F80"/>
    <w:rsid w:val="00521A4C"/>
    <w:rsid w:val="006963B2"/>
    <w:rsid w:val="00B45E44"/>
    <w:rsid w:val="00B741C9"/>
    <w:rsid w:val="00DB2837"/>
    <w:rsid w:val="00E34AF3"/>
    <w:rsid w:val="00F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780E"/>
  <w15:chartTrackingRefBased/>
  <w15:docId w15:val="{B6B571FD-C5ED-425E-8C4A-292AFA1F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35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C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74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</dc:creator>
  <cp:keywords/>
  <dc:description/>
  <cp:lastModifiedBy>KateR</cp:lastModifiedBy>
  <cp:revision>8</cp:revision>
  <dcterms:created xsi:type="dcterms:W3CDTF">2021-05-11T17:39:00Z</dcterms:created>
  <dcterms:modified xsi:type="dcterms:W3CDTF">2021-09-20T12:56:00Z</dcterms:modified>
</cp:coreProperties>
</file>